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FC40" w14:textId="77777777" w:rsidR="00EE44DE" w:rsidRPr="00EE44DE" w:rsidRDefault="00EE44DE" w:rsidP="00EE44DE">
      <w:pPr>
        <w:pStyle w:val="2"/>
        <w:ind w:left="0" w:firstLine="0"/>
      </w:pPr>
      <w:bookmarkStart w:id="0" w:name="_Toc146025991"/>
      <w:bookmarkStart w:id="1" w:name="_Toc146270828"/>
      <w:bookmarkStart w:id="2" w:name="_Toc146270933"/>
      <w:bookmarkStart w:id="3" w:name="_Toc148632658"/>
      <w:r w:rsidRPr="00EE44DE">
        <w:t>ΠΑΡΑΡΤΗΜΑ ΙV – Υπόδειγμα Οικονομικής Προσφοράς</w:t>
      </w:r>
      <w:bookmarkEnd w:id="0"/>
      <w:bookmarkEnd w:id="1"/>
      <w:bookmarkEnd w:id="2"/>
      <w:bookmarkEnd w:id="3"/>
      <w:r w:rsidRPr="00EE44DE">
        <w:t xml:space="preserve"> </w:t>
      </w:r>
    </w:p>
    <w:p w14:paraId="527B0E79" w14:textId="77777777" w:rsidR="00EE44DE" w:rsidRPr="00EE44DE" w:rsidRDefault="00EE44DE" w:rsidP="00EE44DE">
      <w:pPr>
        <w:pStyle w:val="2"/>
        <w:ind w:left="0" w:firstLine="0"/>
      </w:pPr>
      <w:r w:rsidRPr="00EE44DE">
        <w:t>ΥΠΟΔΕΙΓΜΑ ΟΙΚΟΝΟΜΙΚΗΣ ΠΡΟΣΦΟΡΑΣ</w:t>
      </w:r>
    </w:p>
    <w:p w14:paraId="55E70F06" w14:textId="77777777" w:rsidR="00EE44DE" w:rsidRP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Της Διακήρυξης με ΑΔΑΜ ……………</w:t>
      </w:r>
    </w:p>
    <w:p w14:paraId="1C383592" w14:textId="77777777" w:rsidR="00EE44DE" w:rsidRPr="00EE44DE" w:rsidRDefault="00EE44DE" w:rsidP="00EE44DE">
      <w:pPr>
        <w:spacing w:after="0"/>
        <w:rPr>
          <w:lang w:bidi="el-GR"/>
        </w:rPr>
      </w:pPr>
    </w:p>
    <w:p w14:paraId="336BD418" w14:textId="77777777" w:rsidR="00EE44DE" w:rsidRP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Στοιχεία Προσφέροντος: …..…………………………………………………………………………………………………………………………</w:t>
      </w:r>
    </w:p>
    <w:p w14:paraId="4AB45D15" w14:textId="77777777" w:rsidR="00EE44DE" w:rsidRP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Δ/</w:t>
      </w:r>
      <w:proofErr w:type="spellStart"/>
      <w:r w:rsidRPr="00EE44DE">
        <w:rPr>
          <w:lang w:bidi="el-GR"/>
        </w:rPr>
        <w:t>νση</w:t>
      </w:r>
      <w:proofErr w:type="spellEnd"/>
      <w:r w:rsidRPr="00EE44DE">
        <w:rPr>
          <w:lang w:bidi="el-GR"/>
        </w:rPr>
        <w:t>: …………………………………………………………………………………………………………………………………………………………</w:t>
      </w:r>
    </w:p>
    <w:p w14:paraId="0463C999" w14:textId="44EFB935" w:rsid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Τηλέφωνο: ………………………………………………………………………………………………………………………………………………….</w:t>
      </w:r>
    </w:p>
    <w:p w14:paraId="3BA10E1B" w14:textId="77777777" w:rsidR="00163956" w:rsidRPr="00EE44DE" w:rsidRDefault="00163956" w:rsidP="00EE44DE">
      <w:pPr>
        <w:spacing w:after="0"/>
        <w:rPr>
          <w:lang w:bidi="el-GR"/>
        </w:rPr>
      </w:pPr>
    </w:p>
    <w:tbl>
      <w:tblPr>
        <w:tblW w:w="517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64"/>
        <w:gridCol w:w="4121"/>
        <w:gridCol w:w="2596"/>
        <w:gridCol w:w="1308"/>
        <w:gridCol w:w="1388"/>
        <w:gridCol w:w="1542"/>
        <w:gridCol w:w="1697"/>
        <w:gridCol w:w="1820"/>
      </w:tblGrid>
      <w:tr w:rsidR="00D0087A" w:rsidRPr="00D0087A" w14:paraId="388E63EC" w14:textId="77777777" w:rsidTr="00E92A5E"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5B4D20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 </w:t>
            </w:r>
          </w:p>
        </w:tc>
        <w:tc>
          <w:tcPr>
            <w:tcW w:w="14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6AA9120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"Ολοκληρωμένο Σύστημα  Διαχείρισης &amp; Παρακολούθησης Υποδομών Καθαριότητας του Δήμου Αθηναίων</w:t>
            </w:r>
          </w:p>
        </w:tc>
      </w:tr>
      <w:tr w:rsidR="00D0087A" w:rsidRPr="00D0087A" w14:paraId="52FD5B8D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9C32C5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Α/Α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5487D6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ΠΕΡΙΓΡΑΦΗ ΔΑΠΑΝΗΣ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EBCF2C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ΚΑΤΗΓΟΡΙΑ ΔΑΠΑΝΗΣ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A7787D3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ΚΩΔΙΚΟΣ ΔΑΠΑΝΗΣ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A2965F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ΠΟΣΟΤΗΤΑ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6FA9DC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ΜΟΝΑΔΑ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D40D41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 xml:space="preserve">    ΚΟΣΤΟΣ ΜΟΝΑΔΑΣ (ΜΕ ΦΠΑ)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0D3028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ΣΥΝΟΛΙΚΟ ΚΟΣΤΟΣ (ΜΕ ΦΠΑ)</w:t>
            </w:r>
          </w:p>
        </w:tc>
      </w:tr>
      <w:tr w:rsidR="00D0087A" w:rsidRPr="00D0087A" w14:paraId="7CE48CC4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1513" w14:textId="77777777" w:rsidR="00D0087A" w:rsidRPr="00D0087A" w:rsidRDefault="00D0087A" w:rsidP="00D0087A">
            <w:r w:rsidRPr="00D0087A">
              <w:t>1.1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667A" w14:textId="77777777" w:rsidR="00D0087A" w:rsidRPr="00D0087A" w:rsidRDefault="00D0087A" w:rsidP="00D0087A">
            <w:r w:rsidRPr="00D0087A">
              <w:t xml:space="preserve">Εξοπλισμός </w:t>
            </w:r>
            <w:proofErr w:type="spellStart"/>
            <w:r w:rsidRPr="00D0087A">
              <w:t>Fleet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Management</w:t>
            </w:r>
            <w:proofErr w:type="spellEnd"/>
            <w:r w:rsidRPr="00D0087A">
              <w:t xml:space="preserve"> - συσκευή επί οχήματος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7115D" w14:textId="77777777" w:rsidR="00D0087A" w:rsidRPr="00D0087A" w:rsidRDefault="00D0087A" w:rsidP="00D0087A">
            <w:r w:rsidRPr="00D0087A">
              <w:t>ΛΟΙΠΟΣ ΕΞΟΠΛΙΣΜΟΣ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FBB9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A100" w14:textId="77777777" w:rsidR="00D0087A" w:rsidRPr="00D0087A" w:rsidRDefault="00D0087A" w:rsidP="00D0087A">
            <w:r w:rsidRPr="00D0087A">
              <w:t>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7110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5A83" w14:textId="77777777" w:rsidR="00D0087A" w:rsidRPr="00D0087A" w:rsidRDefault="00D0087A" w:rsidP="00D0087A">
            <w:r w:rsidRPr="00D0087A">
              <w:t>365,80,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3C6A" w14:textId="77777777" w:rsidR="00D0087A" w:rsidRPr="00D0087A" w:rsidRDefault="00D0087A" w:rsidP="00D0087A">
            <w:r w:rsidRPr="00D0087A">
              <w:t>131.688,00 €</w:t>
            </w:r>
          </w:p>
        </w:tc>
      </w:tr>
      <w:tr w:rsidR="00D0087A" w:rsidRPr="00D0087A" w14:paraId="58F48D1B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285F" w14:textId="77777777" w:rsidR="00D0087A" w:rsidRPr="00D0087A" w:rsidRDefault="00D0087A" w:rsidP="00D0087A">
            <w:r w:rsidRPr="00D0087A">
              <w:t>1.2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B760" w14:textId="77777777" w:rsidR="00D0087A" w:rsidRPr="00D0087A" w:rsidRDefault="00D0087A" w:rsidP="00D0087A">
            <w:r w:rsidRPr="00D0087A">
              <w:t>Εξοπλισμός RFID αναγνώστες επί οχημάτων αποκομιδής και ανακύκλωσης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92D" w14:textId="77777777" w:rsidR="00D0087A" w:rsidRPr="00D0087A" w:rsidRDefault="00D0087A" w:rsidP="00D0087A">
            <w:r w:rsidRPr="00D0087A">
              <w:t>ΛΟΙΠΟΣ ΕΞΟΠΛΙΣΜΟΣ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7B06" w14:textId="77777777" w:rsidR="00D0087A" w:rsidRPr="00D0087A" w:rsidRDefault="00D0087A" w:rsidP="00D0087A">
            <w:r w:rsidRPr="00D0087A"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4715" w14:textId="77777777" w:rsidR="00D0087A" w:rsidRPr="00D0087A" w:rsidRDefault="00D0087A" w:rsidP="00D0087A">
            <w:r w:rsidRPr="00D0087A">
              <w:t>145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C96C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F114" w14:textId="77777777" w:rsidR="00D0087A" w:rsidRPr="00D0087A" w:rsidRDefault="00D0087A" w:rsidP="00D0087A">
            <w:r w:rsidRPr="00D0087A">
              <w:t>1.240,00 €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52A0" w14:textId="77777777" w:rsidR="00D0087A" w:rsidRPr="00D0087A" w:rsidRDefault="00D0087A" w:rsidP="00D0087A">
            <w:r w:rsidRPr="00D0087A">
              <w:t>179.800,00 €</w:t>
            </w:r>
          </w:p>
        </w:tc>
      </w:tr>
      <w:tr w:rsidR="00D0087A" w:rsidRPr="00D0087A" w14:paraId="19086751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1B80" w14:textId="77777777" w:rsidR="00D0087A" w:rsidRPr="00D0087A" w:rsidRDefault="00D0087A" w:rsidP="00D0087A">
            <w:r w:rsidRPr="00D0087A">
              <w:t>1.3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DD69" w14:textId="77777777" w:rsidR="00D0087A" w:rsidRPr="00D0087A" w:rsidRDefault="00D0087A" w:rsidP="00D0087A">
            <w:r w:rsidRPr="00D0087A">
              <w:t>Εξοπλισμός ζυγίσματος για οχήματα αποκομιδής και ανακύκλωσης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CBCE" w14:textId="77777777" w:rsidR="00D0087A" w:rsidRPr="00D0087A" w:rsidRDefault="00D0087A" w:rsidP="00D0087A">
            <w:r w:rsidRPr="00D0087A">
              <w:t>ΛΟΙΠΟΣ ΕΞΟΠΛΙΣΜΟΣ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5C54" w14:textId="77777777" w:rsidR="00D0087A" w:rsidRPr="00D0087A" w:rsidRDefault="00D0087A" w:rsidP="00D0087A">
            <w:r w:rsidRPr="00D0087A"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C8B9" w14:textId="77777777" w:rsidR="00D0087A" w:rsidRPr="00D0087A" w:rsidRDefault="00D0087A" w:rsidP="00D0087A">
            <w:r w:rsidRPr="00D0087A"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429D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5FF8" w14:textId="77777777" w:rsidR="00D0087A" w:rsidRPr="00D0087A" w:rsidRDefault="00D0087A" w:rsidP="00D0087A">
            <w:r w:rsidRPr="00D0087A">
              <w:t>9.300,00 €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8C41" w14:textId="77777777" w:rsidR="00D0087A" w:rsidRPr="00D0087A" w:rsidRDefault="00D0087A" w:rsidP="00D0087A">
            <w:r w:rsidRPr="00D0087A">
              <w:t>465.000,00 €</w:t>
            </w:r>
          </w:p>
        </w:tc>
      </w:tr>
      <w:tr w:rsidR="00D0087A" w:rsidRPr="00D0087A" w14:paraId="24069E32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4FC3" w14:textId="77777777" w:rsidR="00D0087A" w:rsidRPr="00D0087A" w:rsidRDefault="00D0087A" w:rsidP="00D0087A">
            <w:r w:rsidRPr="00D0087A">
              <w:t>1.4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D4AA" w14:textId="77777777" w:rsidR="00D0087A" w:rsidRPr="00D0087A" w:rsidRDefault="00D0087A" w:rsidP="00D0087A">
            <w:r w:rsidRPr="00D0087A">
              <w:t>Εξοπλισμός έξυπνων αισθητήρων πληρότητας σε κάδους απορριμμάτων και κάδους ανακύκλωσης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5C17" w14:textId="77777777" w:rsidR="00D0087A" w:rsidRPr="00D0087A" w:rsidRDefault="00D0087A" w:rsidP="00D0087A">
            <w:r w:rsidRPr="00D0087A">
              <w:t>ΛΟΙΠΟΣ ΕΞΟΠΛΙΣΜΟΣ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D27E" w14:textId="77777777" w:rsidR="00D0087A" w:rsidRPr="00D0087A" w:rsidRDefault="00D0087A" w:rsidP="00D0087A">
            <w:r w:rsidRPr="00D0087A"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1A98" w14:textId="77777777" w:rsidR="00D0087A" w:rsidRPr="00D0087A" w:rsidRDefault="00D0087A" w:rsidP="00D0087A">
            <w:r w:rsidRPr="00D0087A">
              <w:t>1.000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0580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AF88" w14:textId="77777777" w:rsidR="00D0087A" w:rsidRPr="00D0087A" w:rsidRDefault="00D0087A" w:rsidP="00D0087A">
            <w:r w:rsidRPr="00D0087A">
              <w:t>508,40 €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870" w14:textId="77777777" w:rsidR="00D0087A" w:rsidRPr="00D0087A" w:rsidRDefault="00D0087A" w:rsidP="00D0087A">
            <w:r w:rsidRPr="00D0087A">
              <w:t>508.400,00 €</w:t>
            </w:r>
          </w:p>
        </w:tc>
      </w:tr>
      <w:tr w:rsidR="00D0087A" w:rsidRPr="00D0087A" w14:paraId="59F3C1D6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FA128" w14:textId="77777777" w:rsidR="00D0087A" w:rsidRPr="00D0087A" w:rsidRDefault="00D0087A" w:rsidP="00D0087A">
            <w:r w:rsidRPr="00D0087A">
              <w:t>1.5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4FD4" w14:textId="77777777" w:rsidR="00D0087A" w:rsidRPr="00D0087A" w:rsidRDefault="00D0087A" w:rsidP="00D0087A">
            <w:r w:rsidRPr="00D0087A">
              <w:t xml:space="preserve">Εξοπλισμός RFID </w:t>
            </w:r>
            <w:proofErr w:type="spellStart"/>
            <w:r w:rsidRPr="00D0087A">
              <w:t>tag</w:t>
            </w:r>
            <w:proofErr w:type="spellEnd"/>
            <w:r w:rsidRPr="00D0087A">
              <w:t xml:space="preserve"> ετικέτες σε κάδους απορριμμάτων και κάδους ανακύκλωσης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38C2" w14:textId="77777777" w:rsidR="00D0087A" w:rsidRPr="00D0087A" w:rsidRDefault="00D0087A" w:rsidP="00D0087A">
            <w:r w:rsidRPr="00D0087A">
              <w:t>ΛΟΙΠΟΣ ΕΞΟΠΛΙΣΜΟΣ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1B8F" w14:textId="77777777" w:rsidR="00D0087A" w:rsidRPr="00D0087A" w:rsidRDefault="00D0087A" w:rsidP="00D0087A">
            <w:r w:rsidRPr="00D0087A"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FD1C" w14:textId="77777777" w:rsidR="00D0087A" w:rsidRPr="00D0087A" w:rsidRDefault="00D0087A" w:rsidP="00D0087A">
            <w:r w:rsidRPr="00D0087A">
              <w:t>12.100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D95E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957C" w14:textId="77777777" w:rsidR="00D0087A" w:rsidRPr="00D0087A" w:rsidRDefault="00D0087A" w:rsidP="00D0087A">
            <w:r w:rsidRPr="00D0087A">
              <w:t>9,92 €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8194" w14:textId="77777777" w:rsidR="00D0087A" w:rsidRPr="00D0087A" w:rsidRDefault="00D0087A" w:rsidP="00D0087A">
            <w:r w:rsidRPr="00D0087A">
              <w:t>120.032,00 €</w:t>
            </w:r>
          </w:p>
        </w:tc>
      </w:tr>
      <w:tr w:rsidR="00D0087A" w:rsidRPr="00D0087A" w14:paraId="308C1FED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601BFC" w14:textId="77777777" w:rsidR="00D0087A" w:rsidRPr="00D0087A" w:rsidRDefault="00D0087A" w:rsidP="00D0087A">
            <w:r w:rsidRPr="00D0087A"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1E8C4E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ΜΕΡΙΚΟ ΣΥΝΟΛΟ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F96C9E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ΛΟΙΠΟΣ ΕΞΟΠΛΙΣΜΟΣ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C8D2E6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4F91CE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49953EB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352E2C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39129F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1.404.920,00 €</w:t>
            </w:r>
          </w:p>
        </w:tc>
      </w:tr>
      <w:tr w:rsidR="00D0087A" w:rsidRPr="00D0087A" w14:paraId="416684A4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897D" w14:textId="77777777" w:rsidR="00D0087A" w:rsidRPr="00D0087A" w:rsidRDefault="00D0087A" w:rsidP="00D0087A">
            <w:r w:rsidRPr="00D0087A">
              <w:lastRenderedPageBreak/>
              <w:t>2.1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3156" w14:textId="77777777" w:rsidR="00D0087A" w:rsidRPr="00D0087A" w:rsidRDefault="00D0087A" w:rsidP="00D0087A">
            <w:r w:rsidRPr="00D0087A">
              <w:t xml:space="preserve">Λογισμικό για </w:t>
            </w:r>
            <w:proofErr w:type="spellStart"/>
            <w:r w:rsidRPr="00D0087A">
              <w:t>Fleet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Management</w:t>
            </w:r>
            <w:proofErr w:type="spellEnd"/>
            <w:r w:rsidRPr="00D0087A">
              <w:t xml:space="preserve"> και Γραφείου Κινήσεως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A189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D0D3" w14:textId="77777777" w:rsidR="00D0087A" w:rsidRPr="00D0087A" w:rsidRDefault="00D0087A" w:rsidP="00D0087A">
            <w:r w:rsidRPr="00D0087A"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1F024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657B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CF56" w14:textId="77777777" w:rsidR="00D0087A" w:rsidRPr="00D0087A" w:rsidRDefault="00D0087A" w:rsidP="00D0087A">
            <w:r w:rsidRPr="00D0087A">
              <w:t>74.400,00 €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042A" w14:textId="77777777" w:rsidR="00D0087A" w:rsidRPr="00D0087A" w:rsidRDefault="00D0087A" w:rsidP="00D0087A">
            <w:r w:rsidRPr="00D0087A">
              <w:t>74.400,00 €</w:t>
            </w:r>
          </w:p>
        </w:tc>
      </w:tr>
      <w:tr w:rsidR="00D0087A" w:rsidRPr="00D0087A" w14:paraId="428BE019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6910" w14:textId="77777777" w:rsidR="00D0087A" w:rsidRPr="00D0087A" w:rsidRDefault="00D0087A" w:rsidP="00D0087A">
            <w:r w:rsidRPr="00D0087A">
              <w:t>2.2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4A5B" w14:textId="77777777" w:rsidR="00D0087A" w:rsidRPr="00D0087A" w:rsidRDefault="00D0087A" w:rsidP="00D0087A">
            <w:r w:rsidRPr="00D0087A">
              <w:t>Εφαρμογή έξυπνης δρομολόγησης οχημάτων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39BC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AF5F" w14:textId="77777777" w:rsidR="00D0087A" w:rsidRPr="00D0087A" w:rsidRDefault="00D0087A" w:rsidP="00D0087A">
            <w:r w:rsidRPr="00D0087A"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B3B0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6186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0B73" w14:textId="77777777" w:rsidR="00D0087A" w:rsidRPr="00D0087A" w:rsidRDefault="00D0087A" w:rsidP="00D0087A">
            <w:r w:rsidRPr="00D0087A">
              <w:t>37.200,00 €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1656" w14:textId="77777777" w:rsidR="00D0087A" w:rsidRPr="00D0087A" w:rsidRDefault="00D0087A" w:rsidP="00D0087A">
            <w:r w:rsidRPr="00D0087A">
              <w:t>37.200,00 €</w:t>
            </w:r>
          </w:p>
        </w:tc>
      </w:tr>
      <w:tr w:rsidR="00D0087A" w:rsidRPr="00D0087A" w14:paraId="5C38B8C8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E66B" w14:textId="77777777" w:rsidR="00D0087A" w:rsidRPr="00D0087A" w:rsidRDefault="00D0087A" w:rsidP="00D0087A">
            <w:r w:rsidRPr="00D0087A">
              <w:t>2.3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475A" w14:textId="77777777" w:rsidR="00D0087A" w:rsidRPr="00D0087A" w:rsidRDefault="00D0087A" w:rsidP="00D0087A">
            <w:r w:rsidRPr="00D0087A">
              <w:t>Εφαρμογή  Ζύγισης και Ταυτοποίησης Κάδων Επί Οχήματος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0F2D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1620" w14:textId="77777777" w:rsidR="00D0087A" w:rsidRPr="00D0087A" w:rsidRDefault="00D0087A" w:rsidP="00D0087A">
            <w:r w:rsidRPr="00D0087A"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AF3A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299A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B125" w14:textId="77777777" w:rsidR="00D0087A" w:rsidRPr="00D0087A" w:rsidRDefault="00D0087A" w:rsidP="00D0087A">
            <w:r w:rsidRPr="00D0087A">
              <w:t>37.200,00 €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94C2" w14:textId="77777777" w:rsidR="00D0087A" w:rsidRPr="00D0087A" w:rsidRDefault="00D0087A" w:rsidP="00D0087A">
            <w:r w:rsidRPr="00D0087A">
              <w:t>37.200,00 €</w:t>
            </w:r>
          </w:p>
        </w:tc>
      </w:tr>
      <w:tr w:rsidR="00D0087A" w:rsidRPr="00D0087A" w14:paraId="0AF15561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B67D" w14:textId="77777777" w:rsidR="00D0087A" w:rsidRPr="00D0087A" w:rsidRDefault="00D0087A" w:rsidP="00D0087A">
            <w:r w:rsidRPr="00D0087A">
              <w:t>2.4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871D" w14:textId="77777777" w:rsidR="00D0087A" w:rsidRPr="00D0087A" w:rsidRDefault="00D0087A" w:rsidP="00D0087A">
            <w:r w:rsidRPr="00D0087A">
              <w:t>Εφαρμογή Παρακολούθησης Πληρότητας Κάδων με Χρήση Αισθητήρων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5C19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E885" w14:textId="77777777" w:rsidR="00D0087A" w:rsidRPr="00D0087A" w:rsidRDefault="00D0087A" w:rsidP="00D0087A">
            <w:r w:rsidRPr="00D0087A"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346C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D39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8351" w14:textId="77777777" w:rsidR="00D0087A" w:rsidRPr="00D0087A" w:rsidRDefault="00D0087A" w:rsidP="00D0087A">
            <w:r w:rsidRPr="00D0087A">
              <w:t>24.800,00 €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8B92" w14:textId="77777777" w:rsidR="00D0087A" w:rsidRPr="00D0087A" w:rsidRDefault="00D0087A" w:rsidP="00D0087A">
            <w:r w:rsidRPr="00D0087A">
              <w:t>24.800,00 €</w:t>
            </w:r>
          </w:p>
        </w:tc>
      </w:tr>
      <w:tr w:rsidR="00D0087A" w:rsidRPr="00D0087A" w14:paraId="340C00C1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52EF2" w14:textId="77777777" w:rsidR="00D0087A" w:rsidRPr="00D0087A" w:rsidRDefault="00D0087A" w:rsidP="00D0087A">
            <w:r w:rsidRPr="00D0087A">
              <w:t>2.5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6E969" w14:textId="77777777" w:rsidR="00D0087A" w:rsidRPr="00D0087A" w:rsidRDefault="00D0087A" w:rsidP="00D0087A">
            <w:r w:rsidRPr="00D0087A">
              <w:t>Εφαρμογή σε Κινητές Συσκευές Κινητού και Βάση Δεδομένων για τα νοικοκυριά, όπου θα καταχωρούνται τα αιτήματα παραλαβής (</w:t>
            </w:r>
            <w:proofErr w:type="spellStart"/>
            <w:r w:rsidRPr="00D0087A">
              <w:t>pick-up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request</w:t>
            </w:r>
            <w:proofErr w:type="spellEnd"/>
            <w:r w:rsidRPr="00D0087A">
              <w:t>) συγκεκριμένων κατηγοριών οικιακών απορριμμάτων.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1F68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2D6CF" w14:textId="77777777" w:rsidR="00D0087A" w:rsidRPr="00D0087A" w:rsidRDefault="00D0087A" w:rsidP="00D0087A">
            <w:r w:rsidRPr="00D0087A"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7B11E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2B7A6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C166D" w14:textId="77777777" w:rsidR="00D0087A" w:rsidRPr="00D0087A" w:rsidRDefault="00D0087A" w:rsidP="00D0087A">
            <w:r w:rsidRPr="00D0087A">
              <w:t>50.393,60 €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51323" w14:textId="77777777" w:rsidR="00D0087A" w:rsidRPr="00D0087A" w:rsidRDefault="00D0087A" w:rsidP="00D0087A">
            <w:r w:rsidRPr="00D0087A">
              <w:t>50.393,60 €</w:t>
            </w:r>
          </w:p>
        </w:tc>
      </w:tr>
      <w:tr w:rsidR="00D0087A" w:rsidRPr="00D0087A" w14:paraId="390D349E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BA30" w14:textId="77777777" w:rsidR="00D0087A" w:rsidRPr="00D0087A" w:rsidRDefault="00D0087A" w:rsidP="00D0087A">
            <w:r w:rsidRPr="00D0087A">
              <w:t>2.6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4A79D" w14:textId="77777777" w:rsidR="00D0087A" w:rsidRPr="00D0087A" w:rsidRDefault="00D0087A" w:rsidP="00D0087A">
            <w:r w:rsidRPr="00D0087A">
              <w:t xml:space="preserve">Εφαρμογή για Συσκευές Κινητού και Βάση Δεδομένων για τη διαχείριση του </w:t>
            </w:r>
            <w:proofErr w:type="spellStart"/>
            <w:r w:rsidRPr="00D0087A">
              <w:t>αδειοδοτημένου</w:t>
            </w:r>
            <w:proofErr w:type="spellEnd"/>
            <w:r w:rsidRPr="00D0087A">
              <w:t xml:space="preserve"> στόλου οχημάτων και τη βελτιστοποίηση των δρομολογίων αποκομιδής από τα νοικοκυριά των παραγόμενων Απορριμμάτων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F2C9E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F8988" w14:textId="77777777" w:rsidR="00D0087A" w:rsidRPr="00D0087A" w:rsidRDefault="00D0087A" w:rsidP="00D0087A">
            <w:r w:rsidRPr="00D0087A"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C01F9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5F96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3C4D4" w14:textId="77777777" w:rsidR="00D0087A" w:rsidRPr="00D0087A" w:rsidRDefault="00D0087A" w:rsidP="00D0087A">
            <w:r w:rsidRPr="00D0087A">
              <w:t>50.393,60 €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A97E" w14:textId="77777777" w:rsidR="00D0087A" w:rsidRPr="00D0087A" w:rsidRDefault="00D0087A" w:rsidP="00D0087A">
            <w:r w:rsidRPr="00D0087A">
              <w:t>50.393,60 €</w:t>
            </w:r>
          </w:p>
        </w:tc>
      </w:tr>
      <w:tr w:rsidR="00D0087A" w:rsidRPr="00D0087A" w14:paraId="72B1045E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8762D" w14:textId="77777777" w:rsidR="00D0087A" w:rsidRPr="00D0087A" w:rsidRDefault="00D0087A" w:rsidP="00D0087A">
            <w:r w:rsidRPr="00D0087A">
              <w:t>2.7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A81F3" w14:textId="77777777" w:rsidR="00D0087A" w:rsidRPr="00D0087A" w:rsidRDefault="00D0087A" w:rsidP="00D0087A">
            <w:r w:rsidRPr="00D0087A">
              <w:t xml:space="preserve">Διαδικτυακή Εφαρμογή (Web </w:t>
            </w:r>
            <w:proofErr w:type="spellStart"/>
            <w:r w:rsidRPr="00D0087A">
              <w:t>App</w:t>
            </w:r>
            <w:proofErr w:type="spellEnd"/>
            <w:r w:rsidRPr="00D0087A">
              <w:t>) και πλατφόρμα Διαδικτύου των Πραγμάτων (</w:t>
            </w:r>
            <w:proofErr w:type="spellStart"/>
            <w:r w:rsidRPr="00D0087A">
              <w:t>ΙοΤ</w:t>
            </w:r>
            <w:proofErr w:type="spellEnd"/>
            <w:r w:rsidRPr="00D0087A">
              <w:t xml:space="preserve">), για την </w:t>
            </w:r>
            <w:proofErr w:type="spellStart"/>
            <w:r w:rsidRPr="00D0087A">
              <w:t>online</w:t>
            </w:r>
            <w:proofErr w:type="spellEnd"/>
            <w:r w:rsidRPr="00D0087A">
              <w:t xml:space="preserve"> παρακολούθηση της επίδοσης των πολιτών, των  δρομολογίων αποκομιδής του </w:t>
            </w:r>
            <w:proofErr w:type="spellStart"/>
            <w:r w:rsidRPr="00D0087A">
              <w:t>αδειοδοτημένου</w:t>
            </w:r>
            <w:proofErr w:type="spellEnd"/>
            <w:r w:rsidRPr="00D0087A">
              <w:t xml:space="preserve"> στόλου οχημάτων και της διασύνδεσης ζυγιστικών συστημάτων με δυνατότητα ταυτοποίησης δημοτών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82CCE" w14:textId="77777777" w:rsidR="00D0087A" w:rsidRPr="00D0087A" w:rsidRDefault="00D0087A" w:rsidP="00D0087A">
            <w:r w:rsidRPr="00D0087A"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BB966" w14:textId="77777777" w:rsidR="00D0087A" w:rsidRPr="00D0087A" w:rsidRDefault="00D0087A" w:rsidP="00D0087A">
            <w:r w:rsidRPr="00D0087A"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3A5F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030D1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DB564" w14:textId="77777777" w:rsidR="00D0087A" w:rsidRPr="00D0087A" w:rsidRDefault="00D0087A" w:rsidP="00D0087A">
            <w:r w:rsidRPr="00D0087A">
              <w:t>50.393,60 €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93A6" w14:textId="77777777" w:rsidR="00D0087A" w:rsidRPr="00D0087A" w:rsidRDefault="00D0087A" w:rsidP="00D0087A">
            <w:r w:rsidRPr="00D0087A">
              <w:t>50.393,60 €</w:t>
            </w:r>
          </w:p>
        </w:tc>
      </w:tr>
      <w:tr w:rsidR="00D0087A" w:rsidRPr="00D0087A" w14:paraId="1A5668CB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018BC7" w14:textId="77777777" w:rsidR="00D0087A" w:rsidRPr="00D0087A" w:rsidRDefault="00D0087A" w:rsidP="00D0087A">
            <w:r w:rsidRPr="00D0087A">
              <w:lastRenderedPageBreak/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25C0E10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ΜΕΡΙΚΟ ΣΥΝΟΛΟ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943B34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ΑΔΕΙΕΣ ΛΟΓΙΣΜΙΚΟΥ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1B006FE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091496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67C848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7B73DB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188294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324.780,80 €</w:t>
            </w:r>
          </w:p>
        </w:tc>
      </w:tr>
      <w:tr w:rsidR="00D0087A" w:rsidRPr="00D0087A" w14:paraId="02065138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057D" w14:textId="77777777" w:rsidR="00D0087A" w:rsidRPr="00D0087A" w:rsidRDefault="00D0087A" w:rsidP="00D0087A">
            <w:r w:rsidRPr="00D0087A">
              <w:t>3.1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9321" w14:textId="77777777" w:rsidR="00D0087A" w:rsidRPr="00D0087A" w:rsidRDefault="00D0087A" w:rsidP="00D0087A">
            <w:r w:rsidRPr="00D0087A">
              <w:t xml:space="preserve">Εγκατάσταση, Παραμετροποίηση, </w:t>
            </w:r>
            <w:proofErr w:type="spellStart"/>
            <w:r w:rsidRPr="00D0087A">
              <w:t>λογισμικoύ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Fleet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Management</w:t>
            </w:r>
            <w:proofErr w:type="spellEnd"/>
            <w:r w:rsidRPr="00D0087A">
              <w:t xml:space="preserve"> και Γραφείου Κινήσεως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499B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9972" w14:textId="77777777" w:rsidR="00D0087A" w:rsidRPr="00D0087A" w:rsidRDefault="00D0087A" w:rsidP="00D0087A">
            <w:r w:rsidRPr="00D0087A"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97F5" w14:textId="77777777" w:rsidR="00D0087A" w:rsidRPr="00D0087A" w:rsidRDefault="00D0087A" w:rsidP="00D0087A">
            <w:r w:rsidRPr="00D0087A"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816C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E9E6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D1FB" w14:textId="77777777" w:rsidR="00D0087A" w:rsidRPr="00D0087A" w:rsidRDefault="00D0087A" w:rsidP="00D0087A">
            <w:r w:rsidRPr="00D0087A">
              <w:t>10.000,00 €</w:t>
            </w:r>
          </w:p>
        </w:tc>
      </w:tr>
      <w:tr w:rsidR="00D0087A" w:rsidRPr="00D0087A" w14:paraId="155C501B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8C50" w14:textId="77777777" w:rsidR="00D0087A" w:rsidRPr="00D0087A" w:rsidRDefault="00D0087A" w:rsidP="00D0087A">
            <w:r w:rsidRPr="00D0087A">
              <w:t>3.2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B108" w14:textId="77777777" w:rsidR="00D0087A" w:rsidRPr="00D0087A" w:rsidRDefault="00D0087A" w:rsidP="00D0087A">
            <w:r w:rsidRPr="00D0087A">
              <w:t>Εγκατάσταση, Παραμετροποίηση, Εφαρμογής  Ζύγισης και Ταυτοποίησης Κάδων Επί Οχήματος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53D3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B046" w14:textId="77777777" w:rsidR="00D0087A" w:rsidRPr="00D0087A" w:rsidRDefault="00D0087A" w:rsidP="00D0087A">
            <w:r w:rsidRPr="00D0087A"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597A" w14:textId="77777777" w:rsidR="00D0087A" w:rsidRPr="00D0087A" w:rsidRDefault="00D0087A" w:rsidP="00D0087A">
            <w:r w:rsidRPr="00D0087A"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7477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B639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7D00" w14:textId="77777777" w:rsidR="00D0087A" w:rsidRPr="00D0087A" w:rsidRDefault="00D0087A" w:rsidP="00D0087A">
            <w:r w:rsidRPr="00D0087A">
              <w:t>10.000,00 €</w:t>
            </w:r>
          </w:p>
        </w:tc>
      </w:tr>
      <w:tr w:rsidR="00D0087A" w:rsidRPr="00D0087A" w14:paraId="6ADCD395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CCE4" w14:textId="77777777" w:rsidR="00D0087A" w:rsidRPr="00D0087A" w:rsidRDefault="00D0087A" w:rsidP="00D0087A">
            <w:r w:rsidRPr="00D0087A">
              <w:t>3.3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F955" w14:textId="77777777" w:rsidR="00D0087A" w:rsidRPr="00D0087A" w:rsidRDefault="00D0087A" w:rsidP="00D0087A">
            <w:r w:rsidRPr="00D0087A">
              <w:t>Εγκατάσταση, Παραμετροποίηση, Εφαρμογής Παρακολούθησης Πληρότητας Κάδων με Χρήση Αισθητήρων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F5B0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498A" w14:textId="77777777" w:rsidR="00D0087A" w:rsidRPr="00D0087A" w:rsidRDefault="00D0087A" w:rsidP="00D0087A">
            <w:r w:rsidRPr="00D0087A"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FC7C" w14:textId="77777777" w:rsidR="00D0087A" w:rsidRPr="00D0087A" w:rsidRDefault="00D0087A" w:rsidP="00D0087A">
            <w:r w:rsidRPr="00D0087A"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1A94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9195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D798" w14:textId="77777777" w:rsidR="00D0087A" w:rsidRPr="00D0087A" w:rsidRDefault="00D0087A" w:rsidP="00D0087A">
            <w:r w:rsidRPr="00D0087A">
              <w:t>10.000,00 €</w:t>
            </w:r>
          </w:p>
        </w:tc>
      </w:tr>
      <w:tr w:rsidR="00D0087A" w:rsidRPr="00D0087A" w14:paraId="5E0CDD47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F484" w14:textId="77777777" w:rsidR="00D0087A" w:rsidRPr="00D0087A" w:rsidRDefault="00D0087A" w:rsidP="00D0087A">
            <w:r w:rsidRPr="00D0087A">
              <w:t>3.4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2953" w14:textId="77777777" w:rsidR="00D0087A" w:rsidRPr="00D0087A" w:rsidRDefault="00D0087A" w:rsidP="00D0087A">
            <w:r w:rsidRPr="00D0087A">
              <w:t>Εφαρμογή υποστήριξης Διοικητικών Λειτουργιών και Λήψης αποφάσεων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FF90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09CF" w14:textId="77777777" w:rsidR="00D0087A" w:rsidRPr="00D0087A" w:rsidRDefault="00D0087A" w:rsidP="00D0087A">
            <w:r w:rsidRPr="00D0087A"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2383" w14:textId="77777777" w:rsidR="00D0087A" w:rsidRPr="00D0087A" w:rsidRDefault="00D0087A" w:rsidP="00D0087A">
            <w:r w:rsidRPr="00D0087A"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C4637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557E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8E60" w14:textId="77777777" w:rsidR="00D0087A" w:rsidRPr="00D0087A" w:rsidRDefault="00D0087A" w:rsidP="00D0087A">
            <w:r w:rsidRPr="00D0087A">
              <w:t>25.000,00 €</w:t>
            </w:r>
          </w:p>
        </w:tc>
      </w:tr>
      <w:tr w:rsidR="00D0087A" w:rsidRPr="00D0087A" w14:paraId="4DAA7F10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D5EB" w14:textId="77777777" w:rsidR="00D0087A" w:rsidRPr="00D0087A" w:rsidRDefault="00D0087A" w:rsidP="00D0087A">
            <w:r w:rsidRPr="00D0087A">
              <w:t>3.5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6C24" w14:textId="77777777" w:rsidR="00D0087A" w:rsidRPr="00D0087A" w:rsidRDefault="00D0087A" w:rsidP="00D0087A">
            <w:r w:rsidRPr="00D0087A">
              <w:t>Εφαρμογή σε κινητές συσκευές δήλωσης συνολικού φορτίου απόθεσης σε χώρους υγειονομικής ταφής ανά δρομολόγιο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7DC4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9622" w14:textId="77777777" w:rsidR="00D0087A" w:rsidRPr="00D0087A" w:rsidRDefault="00D0087A" w:rsidP="00D0087A">
            <w:r w:rsidRPr="00D0087A"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463B" w14:textId="77777777" w:rsidR="00D0087A" w:rsidRPr="00D0087A" w:rsidRDefault="00D0087A" w:rsidP="00D0087A">
            <w:r w:rsidRPr="00D0087A"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21E5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2D94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4302" w14:textId="77777777" w:rsidR="00D0087A" w:rsidRPr="00D0087A" w:rsidRDefault="00D0087A" w:rsidP="00D0087A">
            <w:r w:rsidRPr="00D0087A">
              <w:t>15.000,00 €</w:t>
            </w:r>
          </w:p>
        </w:tc>
      </w:tr>
      <w:tr w:rsidR="00D0087A" w:rsidRPr="00D0087A" w14:paraId="7D12B5FB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72C3" w14:textId="77777777" w:rsidR="00D0087A" w:rsidRPr="00D0087A" w:rsidRDefault="00D0087A" w:rsidP="00D0087A">
            <w:r w:rsidRPr="00D0087A">
              <w:t>3.6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7689" w14:textId="77777777" w:rsidR="00D0087A" w:rsidRPr="00D0087A" w:rsidRDefault="00D0087A" w:rsidP="00D0087A">
            <w:r w:rsidRPr="00D0087A">
              <w:t>Εγκατάσταση, Παραμετροποίηση, Εφαρμογής σε Κινητές Συσκευές Κινητού και Βάση Δεδομένων για τα νοικοκυριά, όπου θα καταχωρούνται τα αιτήματα παραλαβής (</w:t>
            </w:r>
            <w:proofErr w:type="spellStart"/>
            <w:r w:rsidRPr="00D0087A">
              <w:t>pick-up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request</w:t>
            </w:r>
            <w:proofErr w:type="spellEnd"/>
            <w:r w:rsidRPr="00D0087A">
              <w:t>) συγκεκριμένων κατηγοριών οικιακών απορριμμάτων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3B7D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FC75" w14:textId="77777777" w:rsidR="00D0087A" w:rsidRPr="00D0087A" w:rsidRDefault="00D0087A" w:rsidP="00D0087A">
            <w:r w:rsidRPr="00D0087A"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EA5F" w14:textId="77777777" w:rsidR="00D0087A" w:rsidRPr="00D0087A" w:rsidRDefault="00D0087A" w:rsidP="00D0087A">
            <w:r w:rsidRPr="00D0087A"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1E7F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BBC3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0893" w14:textId="77777777" w:rsidR="00D0087A" w:rsidRPr="00D0087A" w:rsidRDefault="00D0087A" w:rsidP="00D0087A">
            <w:r w:rsidRPr="00D0087A">
              <w:t>20.000,00 €</w:t>
            </w:r>
          </w:p>
        </w:tc>
      </w:tr>
      <w:tr w:rsidR="00D0087A" w:rsidRPr="00D0087A" w14:paraId="1BF9A610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626E" w14:textId="77777777" w:rsidR="00D0087A" w:rsidRPr="00D0087A" w:rsidRDefault="00D0087A" w:rsidP="00D0087A">
            <w:r w:rsidRPr="00D0087A">
              <w:t>3.7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06BB" w14:textId="77777777" w:rsidR="00D0087A" w:rsidRPr="00D0087A" w:rsidRDefault="00D0087A" w:rsidP="00D0087A">
            <w:r w:rsidRPr="00D0087A">
              <w:t xml:space="preserve">Εγκατάσταση, Παραμετροποίηση, Εφαρμογής για Συσκευές Κινητού και Βάση Δεδομένων για τη διαχείριση του </w:t>
            </w:r>
            <w:proofErr w:type="spellStart"/>
            <w:r w:rsidRPr="00D0087A">
              <w:t>αδειοδοτημένου</w:t>
            </w:r>
            <w:proofErr w:type="spellEnd"/>
            <w:r w:rsidRPr="00D0087A">
              <w:t xml:space="preserve"> στόλου οχημάτων και τη βελτιστοποίηση των δρομολογίων </w:t>
            </w:r>
            <w:r w:rsidRPr="00D0087A">
              <w:lastRenderedPageBreak/>
              <w:t>αποκομιδής από τα νοικοκυριά των παραγόμενων Απορριμμάτων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F592" w14:textId="77777777" w:rsidR="00D0087A" w:rsidRPr="00D0087A" w:rsidRDefault="00D0087A" w:rsidP="00D0087A">
            <w:r w:rsidRPr="00D0087A">
              <w:lastRenderedPageBreak/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060" w14:textId="77777777" w:rsidR="00D0087A" w:rsidRPr="00D0087A" w:rsidRDefault="00D0087A" w:rsidP="00D0087A">
            <w:r w:rsidRPr="00D0087A"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F0BA" w14:textId="77777777" w:rsidR="00D0087A" w:rsidRPr="00D0087A" w:rsidRDefault="00D0087A" w:rsidP="00D0087A">
            <w:r w:rsidRPr="00D0087A"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DED9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E50D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02BB" w14:textId="77777777" w:rsidR="00D0087A" w:rsidRPr="00D0087A" w:rsidRDefault="00D0087A" w:rsidP="00D0087A">
            <w:r w:rsidRPr="00D0087A">
              <w:t>20.000,00 €</w:t>
            </w:r>
          </w:p>
        </w:tc>
      </w:tr>
      <w:tr w:rsidR="00D0087A" w:rsidRPr="00D0087A" w14:paraId="2179F520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7D77" w14:textId="77777777" w:rsidR="00D0087A" w:rsidRPr="00D0087A" w:rsidRDefault="00D0087A" w:rsidP="00D0087A">
            <w:r w:rsidRPr="00D0087A">
              <w:t>3.8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2D46" w14:textId="77777777" w:rsidR="00D0087A" w:rsidRPr="00D0087A" w:rsidRDefault="00D0087A" w:rsidP="00D0087A">
            <w:r w:rsidRPr="00D0087A">
              <w:t xml:space="preserve">Εγκατάσταση, Παραμετροποίηση, Διαδικτυακής Εφαρμογής (Web </w:t>
            </w:r>
            <w:proofErr w:type="spellStart"/>
            <w:r w:rsidRPr="00D0087A">
              <w:t>App</w:t>
            </w:r>
            <w:proofErr w:type="spellEnd"/>
            <w:r w:rsidRPr="00D0087A">
              <w:t>) και πλατφόρμα Διαδικτύου των Πραγμάτων (</w:t>
            </w:r>
            <w:proofErr w:type="spellStart"/>
            <w:r w:rsidRPr="00D0087A">
              <w:t>ΙοΤ</w:t>
            </w:r>
            <w:proofErr w:type="spellEnd"/>
            <w:r w:rsidRPr="00D0087A">
              <w:t xml:space="preserve">), για την </w:t>
            </w:r>
            <w:proofErr w:type="spellStart"/>
            <w:r w:rsidRPr="00D0087A">
              <w:t>online</w:t>
            </w:r>
            <w:proofErr w:type="spellEnd"/>
            <w:r w:rsidRPr="00D0087A">
              <w:t xml:space="preserve"> παρακολούθηση της επίδοσης των πολιτών, των  δρομολογίων αποκομιδής του </w:t>
            </w:r>
            <w:proofErr w:type="spellStart"/>
            <w:r w:rsidRPr="00D0087A">
              <w:t>αδειοδοτημένου</w:t>
            </w:r>
            <w:proofErr w:type="spellEnd"/>
            <w:r w:rsidRPr="00D0087A">
              <w:t xml:space="preserve"> στόλου οχημάτων και της διασύνδεσης ζυγιστικών συστημάτων με δυνατότητα ταυτοποίησης δημοτών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B79C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CC10" w14:textId="77777777" w:rsidR="00D0087A" w:rsidRPr="00D0087A" w:rsidRDefault="00D0087A" w:rsidP="00D0087A">
            <w:r w:rsidRPr="00D0087A"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6D56" w14:textId="77777777" w:rsidR="00D0087A" w:rsidRPr="00D0087A" w:rsidRDefault="00D0087A" w:rsidP="00D0087A">
            <w:r w:rsidRPr="00D0087A"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48D3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D6C31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6DB7" w14:textId="77777777" w:rsidR="00D0087A" w:rsidRPr="00D0087A" w:rsidRDefault="00D0087A" w:rsidP="00D0087A">
            <w:r w:rsidRPr="00D0087A">
              <w:t>20.000,00 €</w:t>
            </w:r>
          </w:p>
        </w:tc>
      </w:tr>
      <w:tr w:rsidR="00D0087A" w:rsidRPr="00D0087A" w14:paraId="2ED249A8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98FA" w14:textId="77777777" w:rsidR="00D0087A" w:rsidRPr="00D0087A" w:rsidRDefault="00D0087A" w:rsidP="00D0087A">
            <w:r w:rsidRPr="00D0087A">
              <w:t>3.9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8C2F" w14:textId="77777777" w:rsidR="00D0087A" w:rsidRPr="00D0087A" w:rsidRDefault="00D0087A" w:rsidP="00D0087A">
            <w:r w:rsidRPr="00D0087A">
              <w:t>Διασύνδεση με τρίτα συστήματα του Δήμου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A6FD" w14:textId="77777777" w:rsidR="00D0087A" w:rsidRPr="00D0087A" w:rsidRDefault="00D0087A" w:rsidP="00D0087A">
            <w:r w:rsidRPr="00D0087A"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0F6D" w14:textId="77777777" w:rsidR="00D0087A" w:rsidRPr="00D0087A" w:rsidRDefault="00D0087A" w:rsidP="00D0087A">
            <w:r w:rsidRPr="00D0087A"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A86E" w14:textId="77777777" w:rsidR="00D0087A" w:rsidRPr="00D0087A" w:rsidRDefault="00D0087A" w:rsidP="00D0087A">
            <w:r w:rsidRPr="00D0087A"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6A03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DE10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F803" w14:textId="77777777" w:rsidR="00D0087A" w:rsidRPr="00D0087A" w:rsidRDefault="00D0087A" w:rsidP="00D0087A">
            <w:r w:rsidRPr="00D0087A">
              <w:t>25.000,00 €</w:t>
            </w:r>
          </w:p>
        </w:tc>
      </w:tr>
      <w:tr w:rsidR="00D0087A" w:rsidRPr="00D0087A" w14:paraId="0792D052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4607F35" w14:textId="77777777" w:rsidR="00D0087A" w:rsidRPr="00D0087A" w:rsidRDefault="00D0087A" w:rsidP="00D0087A">
            <w:r w:rsidRPr="00D0087A"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4FCF18B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ΜΕΡΙΚΟ ΣΥΝΟΛΟ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CB1A71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ΑΝΑΠΤΥΞΗ ΥΠΗΡΕΣΙΩΝ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C23CAF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9F0B65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6850B6A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13C6A8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B9237B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155.000,00 €</w:t>
            </w:r>
          </w:p>
        </w:tc>
      </w:tr>
      <w:tr w:rsidR="00D0087A" w:rsidRPr="00D0087A" w14:paraId="5EFB3556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9AD4" w14:textId="77777777" w:rsidR="00D0087A" w:rsidRPr="00D0087A" w:rsidRDefault="00D0087A" w:rsidP="00D0087A">
            <w:r w:rsidRPr="00D0087A">
              <w:t>4.1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83F8" w14:textId="77777777" w:rsidR="00D0087A" w:rsidRPr="00D0087A" w:rsidRDefault="00D0087A" w:rsidP="00D0087A">
            <w:r w:rsidRPr="00D0087A">
              <w:t>Οριστικοποιημένα Προγράμματα Εκπαίδευσης / Εκπαίδευση στελεχών / Εκπαιδευτικό υλικό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897A" w14:textId="77777777" w:rsidR="00D0087A" w:rsidRPr="00D0087A" w:rsidRDefault="00D0087A" w:rsidP="00D0087A">
            <w:r w:rsidRPr="00D0087A">
              <w:t>ΥΠΗΡΕΣΙΕΣ ΕΚΠΑΙΔΕΥΣΗΣ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D2A0" w14:textId="77777777" w:rsidR="00D0087A" w:rsidRPr="00D0087A" w:rsidRDefault="00D0087A" w:rsidP="00D0087A">
            <w:r w:rsidRPr="00D0087A"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4500" w14:textId="77777777" w:rsidR="00D0087A" w:rsidRPr="00D0087A" w:rsidRDefault="00D0087A" w:rsidP="00D0087A">
            <w:r w:rsidRPr="00D0087A"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FB05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EFD8" w14:textId="77777777" w:rsidR="00D0087A" w:rsidRPr="00D0087A" w:rsidRDefault="00D0087A" w:rsidP="00D0087A">
            <w:r w:rsidRPr="00D0087A">
              <w:t>3.100,00 €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0337" w14:textId="77777777" w:rsidR="00D0087A" w:rsidRPr="00D0087A" w:rsidRDefault="00D0087A" w:rsidP="00D0087A">
            <w:r w:rsidRPr="00D0087A">
              <w:t>31.000,00 €</w:t>
            </w:r>
          </w:p>
        </w:tc>
      </w:tr>
      <w:tr w:rsidR="00D0087A" w:rsidRPr="00D0087A" w14:paraId="58C979D6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14B5" w14:textId="77777777" w:rsidR="00D0087A" w:rsidRPr="00D0087A" w:rsidRDefault="00D0087A" w:rsidP="00D0087A">
            <w:r w:rsidRPr="00D0087A">
              <w:t>4.2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9563E" w14:textId="77777777" w:rsidR="00D0087A" w:rsidRPr="00D0087A" w:rsidRDefault="00D0087A" w:rsidP="00D0087A">
            <w:r w:rsidRPr="00D0087A">
              <w:t>Εγχειρίδια χρήσης (</w:t>
            </w:r>
            <w:proofErr w:type="spellStart"/>
            <w:r w:rsidRPr="00D0087A">
              <w:t>user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manuals</w:t>
            </w:r>
            <w:proofErr w:type="spellEnd"/>
            <w:r w:rsidRPr="00D0087A">
              <w:t>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7757" w14:textId="77777777" w:rsidR="00D0087A" w:rsidRPr="00D0087A" w:rsidRDefault="00D0087A" w:rsidP="00D0087A">
            <w:r w:rsidRPr="00D0087A">
              <w:t>ΥΠΗΡΕΣΙΕΣ ΕΚΠΑΙΔΕΥΣΗΣ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373E" w14:textId="77777777" w:rsidR="00D0087A" w:rsidRPr="00D0087A" w:rsidRDefault="00D0087A" w:rsidP="00D0087A">
            <w:r w:rsidRPr="00D0087A">
              <w:t>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426F" w14:textId="77777777" w:rsidR="00D0087A" w:rsidRPr="00D0087A" w:rsidRDefault="00D0087A" w:rsidP="00D0087A">
            <w:r w:rsidRPr="00D0087A"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4803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4A9A" w14:textId="77777777" w:rsidR="00D0087A" w:rsidRPr="00D0087A" w:rsidRDefault="00D0087A" w:rsidP="00D0087A">
            <w:r w:rsidRPr="00D0087A">
              <w:t>3.100,00 €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A033" w14:textId="77777777" w:rsidR="00D0087A" w:rsidRPr="00D0087A" w:rsidRDefault="00D0087A" w:rsidP="00D0087A">
            <w:r w:rsidRPr="00D0087A">
              <w:t>6.200,00 €</w:t>
            </w:r>
          </w:p>
        </w:tc>
      </w:tr>
      <w:tr w:rsidR="00D0087A" w:rsidRPr="00D0087A" w14:paraId="1D9D4D25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53FCDE" w14:textId="77777777" w:rsidR="00D0087A" w:rsidRPr="00D0087A" w:rsidRDefault="00D0087A" w:rsidP="00D0087A">
            <w:r w:rsidRPr="00D0087A"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518A504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ΜΕΡΙΚΟ ΣΥΝΟΛΟ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7F7885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ΥΠΗΡΕΣΙΕΣ ΕΚΠΑΙΔΕΥΣΗΣ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E3F8001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1E593E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25FCF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B328290" w14:textId="77777777" w:rsidR="00D0087A" w:rsidRPr="00D0087A" w:rsidRDefault="00D0087A" w:rsidP="00D0087A">
            <w:pPr>
              <w:rPr>
                <w:b/>
                <w:bCs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C77341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37.200,00 €</w:t>
            </w:r>
          </w:p>
        </w:tc>
      </w:tr>
      <w:tr w:rsidR="00D0087A" w:rsidRPr="00D0087A" w14:paraId="6B525857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57B0" w14:textId="77777777" w:rsidR="00D0087A" w:rsidRPr="00D0087A" w:rsidRDefault="00D0087A" w:rsidP="00D0087A">
            <w:r w:rsidRPr="00D0087A">
              <w:t>5.1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CD37" w14:textId="77777777" w:rsidR="00D0087A" w:rsidRPr="00D0087A" w:rsidRDefault="00D0087A" w:rsidP="00D0087A">
            <w:r w:rsidRPr="00D0087A">
              <w:t>Μελέτη Εφαρμογής - Πλάνο Υλοποίησης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5507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C12B" w14:textId="77777777" w:rsidR="00D0087A" w:rsidRPr="00D0087A" w:rsidRDefault="00D0087A" w:rsidP="00D0087A">
            <w:r w:rsidRPr="00D0087A"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4565" w14:textId="77777777" w:rsidR="00D0087A" w:rsidRPr="00D0087A" w:rsidRDefault="00D0087A" w:rsidP="00D0087A">
            <w:r w:rsidRPr="00D0087A"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0510" w14:textId="77777777" w:rsidR="00D0087A" w:rsidRPr="00D0087A" w:rsidRDefault="00D0087A" w:rsidP="00D0087A">
            <w:r w:rsidRPr="00D0087A">
              <w:t>A/M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1AB2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D703" w14:textId="77777777" w:rsidR="00D0087A" w:rsidRPr="00D0087A" w:rsidRDefault="00D0087A" w:rsidP="00D0087A">
            <w:r w:rsidRPr="00D0087A">
              <w:t>25.000,00 €</w:t>
            </w:r>
          </w:p>
        </w:tc>
      </w:tr>
      <w:tr w:rsidR="00D0087A" w:rsidRPr="00D0087A" w14:paraId="6866EA83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0208" w14:textId="77777777" w:rsidR="00D0087A" w:rsidRPr="00D0087A" w:rsidRDefault="00D0087A" w:rsidP="00D0087A">
            <w:r w:rsidRPr="00D0087A">
              <w:t>5.2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D3A3" w14:textId="77777777" w:rsidR="00D0087A" w:rsidRPr="00D0087A" w:rsidRDefault="00D0087A" w:rsidP="00D0087A">
            <w:r w:rsidRPr="00D0087A">
              <w:t xml:space="preserve">Υπηρεσίες Εγκατάστασης </w:t>
            </w:r>
            <w:proofErr w:type="spellStart"/>
            <w:r w:rsidRPr="00D0087A">
              <w:t>Fleet</w:t>
            </w:r>
            <w:proofErr w:type="spellEnd"/>
            <w:r w:rsidRPr="00D0087A">
              <w:t xml:space="preserve"> </w:t>
            </w:r>
            <w:proofErr w:type="spellStart"/>
            <w:r w:rsidRPr="00D0087A">
              <w:t>Management</w:t>
            </w:r>
            <w:proofErr w:type="spellEnd"/>
            <w:r w:rsidRPr="00D0087A">
              <w:t xml:space="preserve"> εξοπλισμού σε οχήματα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C8D0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C109" w14:textId="77777777" w:rsidR="00D0087A" w:rsidRPr="00D0087A" w:rsidRDefault="00D0087A" w:rsidP="00D0087A">
            <w:r w:rsidRPr="00D0087A"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3849" w14:textId="77777777" w:rsidR="00D0087A" w:rsidRPr="00D0087A" w:rsidRDefault="00D0087A" w:rsidP="00D0087A">
            <w:r w:rsidRPr="00D0087A">
              <w:t>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FCF8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95A2" w14:textId="77777777" w:rsidR="00D0087A" w:rsidRPr="00D0087A" w:rsidRDefault="00D0087A" w:rsidP="00D0087A">
            <w:r w:rsidRPr="00D0087A">
              <w:t>62,00 €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22AC" w14:textId="77777777" w:rsidR="00D0087A" w:rsidRPr="00D0087A" w:rsidRDefault="00D0087A" w:rsidP="00D0087A">
            <w:r w:rsidRPr="00D0087A">
              <w:t>22.320,00 €</w:t>
            </w:r>
          </w:p>
        </w:tc>
      </w:tr>
      <w:tr w:rsidR="00D0087A" w:rsidRPr="00D0087A" w14:paraId="39AF4EE4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F8F1D" w14:textId="77777777" w:rsidR="00D0087A" w:rsidRPr="00D0087A" w:rsidRDefault="00D0087A" w:rsidP="00D0087A">
            <w:r w:rsidRPr="00D0087A">
              <w:t>5.3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2181C" w14:textId="77777777" w:rsidR="00D0087A" w:rsidRPr="00D0087A" w:rsidRDefault="00D0087A" w:rsidP="00D0087A">
            <w:r w:rsidRPr="00D0087A">
              <w:t>Υπηρεσίες Εγκατάστασης  RFID αναγνωστών σε οχήματα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DC70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8E9B" w14:textId="77777777" w:rsidR="00D0087A" w:rsidRPr="00D0087A" w:rsidRDefault="00D0087A" w:rsidP="00D0087A">
            <w:r w:rsidRPr="00D0087A">
              <w:t>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8296" w14:textId="77777777" w:rsidR="00D0087A" w:rsidRPr="00D0087A" w:rsidRDefault="00D0087A" w:rsidP="00D0087A">
            <w:r w:rsidRPr="00D0087A">
              <w:t>145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89C3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CC70" w14:textId="77777777" w:rsidR="00D0087A" w:rsidRPr="00D0087A" w:rsidRDefault="00D0087A" w:rsidP="00D0087A">
            <w:r w:rsidRPr="00D0087A">
              <w:t>124,00 €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D347" w14:textId="77777777" w:rsidR="00D0087A" w:rsidRPr="00D0087A" w:rsidRDefault="00D0087A" w:rsidP="00D0087A">
            <w:r w:rsidRPr="00D0087A">
              <w:t>17.980,00 €</w:t>
            </w:r>
          </w:p>
        </w:tc>
      </w:tr>
      <w:tr w:rsidR="00D0087A" w:rsidRPr="00D0087A" w14:paraId="6A019D7C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63A9" w14:textId="77777777" w:rsidR="00D0087A" w:rsidRPr="00D0087A" w:rsidRDefault="00D0087A" w:rsidP="00D0087A">
            <w:r w:rsidRPr="00D0087A">
              <w:lastRenderedPageBreak/>
              <w:t>5.4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1446" w14:textId="77777777" w:rsidR="00D0087A" w:rsidRPr="00D0087A" w:rsidRDefault="00D0087A" w:rsidP="00D0087A">
            <w:r w:rsidRPr="00D0087A">
              <w:t>Υπηρεσίες Εγκατάστασης συστημάτων ζύγισης επί οχήματος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9F04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3145" w14:textId="77777777" w:rsidR="00D0087A" w:rsidRPr="00D0087A" w:rsidRDefault="00D0087A" w:rsidP="00D0087A">
            <w:r w:rsidRPr="00D0087A"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1594" w14:textId="77777777" w:rsidR="00D0087A" w:rsidRPr="00D0087A" w:rsidRDefault="00D0087A" w:rsidP="00D0087A">
            <w:r w:rsidRPr="00D0087A"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D616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E5A1" w14:textId="77777777" w:rsidR="00D0087A" w:rsidRPr="00D0087A" w:rsidRDefault="00D0087A" w:rsidP="00D0087A">
            <w:r w:rsidRPr="00D0087A">
              <w:t>124,00 €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30F2" w14:textId="77777777" w:rsidR="00D0087A" w:rsidRPr="00D0087A" w:rsidRDefault="00D0087A" w:rsidP="00D0087A">
            <w:r w:rsidRPr="00D0087A">
              <w:t>6.200,00 €</w:t>
            </w:r>
          </w:p>
        </w:tc>
      </w:tr>
      <w:tr w:rsidR="00D0087A" w:rsidRPr="00D0087A" w14:paraId="2863DFC1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9BA0" w14:textId="77777777" w:rsidR="00D0087A" w:rsidRPr="00D0087A" w:rsidRDefault="00D0087A" w:rsidP="00D0087A">
            <w:r w:rsidRPr="00D0087A">
              <w:t>5.5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3373" w14:textId="77777777" w:rsidR="00D0087A" w:rsidRPr="00D0087A" w:rsidRDefault="00D0087A" w:rsidP="00D0087A">
            <w:r w:rsidRPr="00D0087A">
              <w:t xml:space="preserve">Υπηρεσίες τοποθέτησης  RFID </w:t>
            </w:r>
            <w:proofErr w:type="spellStart"/>
            <w:r w:rsidRPr="00D0087A">
              <w:t>tags</w:t>
            </w:r>
            <w:proofErr w:type="spellEnd"/>
            <w:r w:rsidRPr="00D0087A">
              <w:t xml:space="preserve"> σε κάδους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92F4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5BC0" w14:textId="77777777" w:rsidR="00D0087A" w:rsidRPr="00D0087A" w:rsidRDefault="00D0087A" w:rsidP="00D0087A">
            <w:r w:rsidRPr="00D0087A">
              <w:t>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CF08" w14:textId="77777777" w:rsidR="00D0087A" w:rsidRPr="00D0087A" w:rsidRDefault="00D0087A" w:rsidP="00D0087A">
            <w:r w:rsidRPr="00D0087A">
              <w:t>12.100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5088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3716" w14:textId="77777777" w:rsidR="00D0087A" w:rsidRPr="00D0087A" w:rsidRDefault="00D0087A" w:rsidP="00D0087A">
            <w:r w:rsidRPr="00D0087A">
              <w:t>5,00 €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445A" w14:textId="77777777" w:rsidR="00D0087A" w:rsidRPr="00D0087A" w:rsidRDefault="00D0087A" w:rsidP="00D0087A">
            <w:r w:rsidRPr="00D0087A">
              <w:t>60.500,00 €</w:t>
            </w:r>
          </w:p>
        </w:tc>
      </w:tr>
      <w:tr w:rsidR="00D0087A" w:rsidRPr="00D0087A" w14:paraId="7606C0C1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A54A" w14:textId="77777777" w:rsidR="00D0087A" w:rsidRPr="00D0087A" w:rsidRDefault="00D0087A" w:rsidP="00D0087A">
            <w:r w:rsidRPr="00D0087A">
              <w:t>5.6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C7DE" w14:textId="77777777" w:rsidR="00D0087A" w:rsidRPr="00D0087A" w:rsidRDefault="00D0087A" w:rsidP="00D0087A">
            <w:r w:rsidRPr="00D0087A">
              <w:t>Υπηρεσίες Εγκατάστασης  αισθητήρων πληρότητας κάδων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9480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A7EC" w14:textId="77777777" w:rsidR="00D0087A" w:rsidRPr="00D0087A" w:rsidRDefault="00D0087A" w:rsidP="00D0087A">
            <w:r w:rsidRPr="00D0087A"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F622" w14:textId="77777777" w:rsidR="00D0087A" w:rsidRPr="00D0087A" w:rsidRDefault="00D0087A" w:rsidP="00D0087A">
            <w:r w:rsidRPr="00D0087A">
              <w:t>1.000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3151" w14:textId="77777777" w:rsidR="00D0087A" w:rsidRPr="00D0087A" w:rsidRDefault="00D0087A" w:rsidP="00D0087A">
            <w:r w:rsidRPr="00D0087A">
              <w:t>ΤΕΜ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EEC1" w14:textId="77777777" w:rsidR="00D0087A" w:rsidRPr="00D0087A" w:rsidRDefault="00D0087A" w:rsidP="00D0087A">
            <w:r w:rsidRPr="00D0087A">
              <w:t>62,00 €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458B" w14:textId="77777777" w:rsidR="00D0087A" w:rsidRPr="00D0087A" w:rsidRDefault="00D0087A" w:rsidP="00D0087A">
            <w:r w:rsidRPr="00D0087A">
              <w:t>62.000,00 €</w:t>
            </w:r>
          </w:p>
        </w:tc>
      </w:tr>
      <w:tr w:rsidR="00D0087A" w:rsidRPr="00D0087A" w14:paraId="1FAB6BC8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B574" w14:textId="77777777" w:rsidR="00D0087A" w:rsidRPr="00D0087A" w:rsidRDefault="00D0087A" w:rsidP="00D0087A">
            <w:r w:rsidRPr="00D0087A">
              <w:t>5.7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2166" w14:textId="77777777" w:rsidR="00D0087A" w:rsidRPr="00D0087A" w:rsidRDefault="00D0087A" w:rsidP="00D0087A">
            <w:r w:rsidRPr="00D0087A">
              <w:t>Υποστήριξη πιλοτικής λειτουργίας συστήματος και μέτρα διασφάλισης / ενίσχυσης της αποτελεσματικής αξιοποίησης του συστήματος / Τεκμηρίωση Συστήματος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FC13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63AE" w14:textId="77777777" w:rsidR="00D0087A" w:rsidRPr="00D0087A" w:rsidRDefault="00D0087A" w:rsidP="00D0087A">
            <w:r w:rsidRPr="00D0087A"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F0F0" w14:textId="77777777" w:rsidR="00D0087A" w:rsidRPr="00D0087A" w:rsidRDefault="00D0087A" w:rsidP="00D0087A">
            <w:r w:rsidRPr="00D0087A"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0226" w14:textId="77777777" w:rsidR="00D0087A" w:rsidRPr="00D0087A" w:rsidRDefault="00D0087A" w:rsidP="00D0087A">
            <w:r w:rsidRPr="00D0087A">
              <w:t>Α/Μ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5946" w14:textId="77777777" w:rsidR="00D0087A" w:rsidRPr="00D0087A" w:rsidRDefault="00D0087A" w:rsidP="00D0087A">
            <w:r w:rsidRPr="00D0087A">
              <w:t>5.000,00 €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BABB" w14:textId="77777777" w:rsidR="00D0087A" w:rsidRPr="00D0087A" w:rsidRDefault="00D0087A" w:rsidP="00D0087A">
            <w:r w:rsidRPr="00D0087A">
              <w:t>25.000,00 €</w:t>
            </w:r>
          </w:p>
        </w:tc>
      </w:tr>
      <w:tr w:rsidR="00D0087A" w:rsidRPr="00D0087A" w14:paraId="105843A4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94F3" w14:textId="77777777" w:rsidR="00D0087A" w:rsidRPr="00D0087A" w:rsidRDefault="00D0087A" w:rsidP="00D0087A">
            <w:r w:rsidRPr="00D0087A">
              <w:t>5.8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F816" w14:textId="77777777" w:rsidR="00D0087A" w:rsidRPr="00D0087A" w:rsidRDefault="00D0087A" w:rsidP="00D0087A">
            <w:r w:rsidRPr="00D0087A">
              <w:t>Δράσεις Δημοσιότητας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143E" w14:textId="77777777" w:rsidR="00D0087A" w:rsidRPr="00D0087A" w:rsidRDefault="00D0087A" w:rsidP="00D0087A">
            <w:r w:rsidRPr="00D0087A"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8DD4" w14:textId="77777777" w:rsidR="00D0087A" w:rsidRPr="00D0087A" w:rsidRDefault="00D0087A" w:rsidP="00D0087A">
            <w:r w:rsidRPr="00D0087A">
              <w:t>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C8DF" w14:textId="77777777" w:rsidR="00D0087A" w:rsidRPr="00D0087A" w:rsidRDefault="00D0087A" w:rsidP="00D0087A">
            <w:r w:rsidRPr="00D0087A"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D818" w14:textId="77777777" w:rsidR="00D0087A" w:rsidRPr="00D0087A" w:rsidRDefault="00D0087A" w:rsidP="00D0087A">
            <w:r w:rsidRPr="00D0087A">
              <w:t>ΚΑΤ/ ΑΠΟΚΟΠΗ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FCB0" w14:textId="77777777" w:rsidR="00D0087A" w:rsidRPr="00D0087A" w:rsidRDefault="00D0087A" w:rsidP="00D0087A">
            <w:r w:rsidRPr="00D0087A">
              <w:t>9.099,20 €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E266" w14:textId="77777777" w:rsidR="00D0087A" w:rsidRPr="00D0087A" w:rsidRDefault="00D0087A" w:rsidP="00D0087A">
            <w:r w:rsidRPr="00D0087A">
              <w:t>9.099,20 €</w:t>
            </w:r>
          </w:p>
        </w:tc>
      </w:tr>
      <w:tr w:rsidR="00D0087A" w:rsidRPr="00D0087A" w14:paraId="4FFC140F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27A34D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CB087B4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ΜΕΡΙΚΟ ΣΥΝΟΛΟ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52F037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ΥΠΗΡΕΣΙΕΣ ΥΠΟΣΤΗΡΙΞΗΣ ΕΝΑΡΞΗΣ ΛΕΙΤΟΥΡΓΙΑΣ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D63024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01BDD4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DC454F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5BB2A0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E0968A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228.099,20 €</w:t>
            </w:r>
          </w:p>
        </w:tc>
      </w:tr>
      <w:tr w:rsidR="00D0087A" w:rsidRPr="00D0087A" w14:paraId="78085DC4" w14:textId="77777777" w:rsidTr="00E92A5E"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5AE5" w14:textId="77777777" w:rsidR="00D0087A" w:rsidRPr="00D0087A" w:rsidRDefault="00D0087A" w:rsidP="00D0087A">
            <w:r w:rsidRPr="00D0087A">
              <w:t> </w:t>
            </w:r>
          </w:p>
        </w:tc>
        <w:tc>
          <w:tcPr>
            <w:tcW w:w="107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DB5B3" w14:textId="77777777" w:rsidR="00D0087A" w:rsidRPr="00D0087A" w:rsidRDefault="00D0087A" w:rsidP="00D0087A">
            <w:r w:rsidRPr="00D0087A">
              <w:t>ΓΕΝΙΚΟ ΣΥΝΟΛΟ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0317A" w14:textId="77777777" w:rsidR="00D0087A" w:rsidRPr="00D0087A" w:rsidRDefault="00D0087A" w:rsidP="00D0087A">
            <w:r w:rsidRPr="00D0087A"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D78F" w14:textId="77777777" w:rsidR="00D0087A" w:rsidRPr="00D0087A" w:rsidRDefault="00D0087A" w:rsidP="00D0087A">
            <w:pPr>
              <w:rPr>
                <w:b/>
                <w:bCs/>
              </w:rPr>
            </w:pPr>
            <w:r w:rsidRPr="00D0087A">
              <w:rPr>
                <w:b/>
                <w:bCs/>
              </w:rPr>
              <w:t>2.150.000,00 €</w:t>
            </w:r>
          </w:p>
        </w:tc>
      </w:tr>
    </w:tbl>
    <w:p w14:paraId="12A34A2A" w14:textId="77777777" w:rsidR="00EE44DE" w:rsidRPr="00D0087A" w:rsidRDefault="00EE44DE" w:rsidP="00EE44DE"/>
    <w:p w14:paraId="1D60F5B7" w14:textId="77777777" w:rsidR="00EE44DE" w:rsidRPr="00EE44DE" w:rsidRDefault="00EE44DE" w:rsidP="00163956">
      <w:pPr>
        <w:jc w:val="center"/>
        <w:rPr>
          <w:lang w:val="x-none"/>
        </w:rPr>
      </w:pPr>
      <w:r w:rsidRPr="00EE44DE">
        <w:rPr>
          <w:lang w:val="x-none"/>
        </w:rPr>
        <w:t>Ο προσφέρων</w:t>
      </w:r>
    </w:p>
    <w:p w14:paraId="2BBF39C2" w14:textId="77777777" w:rsidR="00EE44DE" w:rsidRPr="00EE44DE" w:rsidRDefault="00EE44DE" w:rsidP="00163956">
      <w:pPr>
        <w:jc w:val="center"/>
        <w:rPr>
          <w:lang w:val="x-none"/>
        </w:rPr>
      </w:pPr>
    </w:p>
    <w:p w14:paraId="16C22A01" w14:textId="62179DDE" w:rsidR="007703B3" w:rsidRDefault="00EE44DE" w:rsidP="00163956">
      <w:pPr>
        <w:jc w:val="center"/>
      </w:pPr>
      <w:r w:rsidRPr="00EE44DE">
        <w:t>(υπογραφή</w:t>
      </w:r>
    </w:p>
    <w:sectPr w:rsidR="007703B3" w:rsidSect="00EE44DE">
      <w:footerReference w:type="default" r:id="rId6"/>
      <w:pgSz w:w="16838" w:h="11906" w:orient="landscape"/>
      <w:pgMar w:top="993" w:right="82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44EF" w14:textId="77777777" w:rsidR="00E84268" w:rsidRDefault="00E84268" w:rsidP="00E84268">
      <w:pPr>
        <w:spacing w:after="0" w:line="240" w:lineRule="auto"/>
      </w:pPr>
      <w:r>
        <w:separator/>
      </w:r>
    </w:p>
  </w:endnote>
  <w:endnote w:type="continuationSeparator" w:id="0">
    <w:p w14:paraId="7C73389B" w14:textId="77777777" w:rsidR="00E84268" w:rsidRDefault="00E84268" w:rsidP="00E8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74AD" w14:textId="6AD92349" w:rsidR="00E84268" w:rsidRDefault="00E84268" w:rsidP="00E84268">
    <w:pPr>
      <w:pStyle w:val="a4"/>
      <w:jc w:val="center"/>
    </w:pPr>
    <w:r w:rsidRPr="00174A14">
      <w:rPr>
        <w:noProof/>
      </w:rPr>
      <w:drawing>
        <wp:inline distT="0" distB="0" distL="0" distR="0" wp14:anchorId="114B9BF1" wp14:editId="7D8ED047">
          <wp:extent cx="3200400" cy="342900"/>
          <wp:effectExtent l="0" t="0" r="0" b="0"/>
          <wp:docPr id="1" name="Εικόνα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28BB" w14:textId="77777777" w:rsidR="00E84268" w:rsidRDefault="00E84268" w:rsidP="00E84268">
      <w:pPr>
        <w:spacing w:after="0" w:line="240" w:lineRule="auto"/>
      </w:pPr>
      <w:r>
        <w:separator/>
      </w:r>
    </w:p>
  </w:footnote>
  <w:footnote w:type="continuationSeparator" w:id="0">
    <w:p w14:paraId="718D78D8" w14:textId="77777777" w:rsidR="00E84268" w:rsidRDefault="00E84268" w:rsidP="00E84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1"/>
    <w:rsid w:val="00163956"/>
    <w:rsid w:val="007703B3"/>
    <w:rsid w:val="00D0087A"/>
    <w:rsid w:val="00D16411"/>
    <w:rsid w:val="00E84268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7F47"/>
  <w15:chartTrackingRefBased/>
  <w15:docId w15:val="{4E70E3F8-AE41-4F8F-BA88-37E6DD01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4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1"/>
    <w:next w:val="a"/>
    <w:link w:val="2Char"/>
    <w:uiPriority w:val="9"/>
    <w:qFormat/>
    <w:rsid w:val="00EE44DE"/>
    <w:pPr>
      <w:keepLines w:val="0"/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szCs w:val="22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2 headline Char,21 Char,??? Char,B Sub/Bold Char,Chapter Title Char,H2 Char,H21 Char,H211 Char,H22 Char,Header 2 Char,Header 2nd Page Char,Heading 2 Hidden Char,Heading 2_TM Char,Headline 2 Char,Titre 2 Char,_επικεφαλίδα 2 Char"/>
    <w:basedOn w:val="a0"/>
    <w:link w:val="2"/>
    <w:uiPriority w:val="9"/>
    <w:rsid w:val="00EE44DE"/>
    <w:rPr>
      <w:rFonts w:ascii="Arial" w:eastAsia="Times New Roman" w:hAnsi="Arial" w:cs="Times New Roman"/>
      <w:b/>
      <w:color w:val="002060"/>
      <w:sz w:val="24"/>
      <w:lang w:val="x-none" w:eastAsia="ar-SA"/>
    </w:rPr>
  </w:style>
  <w:style w:type="character" w:customStyle="1" w:styleId="1Char">
    <w:name w:val="Επικεφαλίδα 1 Char"/>
    <w:basedOn w:val="a0"/>
    <w:link w:val="1"/>
    <w:uiPriority w:val="9"/>
    <w:rsid w:val="00EE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4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4268"/>
  </w:style>
  <w:style w:type="paragraph" w:styleId="a4">
    <w:name w:val="footer"/>
    <w:basedOn w:val="a"/>
    <w:link w:val="Char0"/>
    <w:uiPriority w:val="99"/>
    <w:unhideWhenUsed/>
    <w:rsid w:val="00E84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920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ΠΑΛΛΗ</dc:creator>
  <cp:keywords/>
  <dc:description/>
  <cp:lastModifiedBy>ΚΑΛΛΙΟΠΗ ΠΑΛΛΗ</cp:lastModifiedBy>
  <cp:revision>6</cp:revision>
  <dcterms:created xsi:type="dcterms:W3CDTF">2023-12-13T14:06:00Z</dcterms:created>
  <dcterms:modified xsi:type="dcterms:W3CDTF">2024-08-07T06:36:00Z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2023-12-13T14:07:28Z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ac33ff6e-4a17-4a9d-b3e3-ec3c6f9e46d6</vt:lpwstr>
  </property>
  <property fmtid="{D5CDD505-2E9C-101B-9397-08002B2CF9AE}" pid="8" name="MSIP_Label_5fa55264-a5e9-418b-8fd4-6c49c7afb5dd_ContentBits">
    <vt:lpwstr>0</vt:lpwstr>
  </property>
</Properties>
</file>